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500" w:rsidRDefault="0065450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654500">
        <w:rPr>
          <w:rStyle w:val="fontstyle01"/>
          <w:rFonts w:ascii="Times New Roman" w:hAnsi="Times New Roman" w:cs="Times New Roman"/>
          <w:sz w:val="28"/>
          <w:szCs w:val="28"/>
        </w:rPr>
        <w:t xml:space="preserve">Supplementary </w:t>
      </w:r>
      <w:r w:rsidR="00EA08E7">
        <w:rPr>
          <w:rStyle w:val="fontstyle01"/>
          <w:rFonts w:ascii="Times New Roman" w:hAnsi="Times New Roman" w:cs="Times New Roman" w:hint="eastAsia"/>
          <w:sz w:val="28"/>
          <w:szCs w:val="28"/>
        </w:rPr>
        <w:t>I</w:t>
      </w:r>
      <w:r w:rsidRPr="00654500">
        <w:rPr>
          <w:rStyle w:val="fontstyle01"/>
          <w:rFonts w:ascii="Times New Roman" w:hAnsi="Times New Roman" w:cs="Times New Roman"/>
          <w:sz w:val="28"/>
          <w:szCs w:val="28"/>
        </w:rPr>
        <w:t>nformation</w:t>
      </w:r>
      <w:r w:rsidR="00EA08E7">
        <w:rPr>
          <w:rStyle w:val="fontstyle01"/>
          <w:rFonts w:ascii="Times New Roman" w:hAnsi="Times New Roman" w:cs="Times New Roman" w:hint="eastAsia"/>
          <w:sz w:val="28"/>
          <w:szCs w:val="28"/>
        </w:rPr>
        <w:t xml:space="preserve"> for</w:t>
      </w:r>
    </w:p>
    <w:p w:rsidR="00EA08E7" w:rsidRPr="00EA08E7" w:rsidRDefault="00EA08E7" w:rsidP="00EA08E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EA08E7">
        <w:rPr>
          <w:rFonts w:ascii="Times New Roman" w:eastAsia="PMingLiU" w:hAnsi="Times New Roman" w:cs="Times New Roman"/>
          <w:b/>
          <w:i/>
          <w:sz w:val="28"/>
          <w:szCs w:val="28"/>
          <w:lang w:eastAsia="zh-TW"/>
        </w:rPr>
        <w:t>SLGT11</w:t>
      </w:r>
      <w:r w:rsidRPr="00EA08E7">
        <w:rPr>
          <w:rFonts w:eastAsia="PMingLiU"/>
          <w:b/>
          <w:sz w:val="28"/>
          <w:szCs w:val="28"/>
          <w:lang w:eastAsia="zh-TW"/>
        </w:rPr>
        <w:t xml:space="preserve"> </w:t>
      </w:r>
      <w:r w:rsidRPr="00EA08E7">
        <w:rPr>
          <w:rFonts w:ascii="Times New Roman" w:eastAsia="PMingLiU" w:hAnsi="Times New Roman" w:cs="Times New Roman"/>
          <w:b/>
          <w:sz w:val="28"/>
          <w:szCs w:val="28"/>
          <w:lang w:eastAsia="zh-TW"/>
        </w:rPr>
        <w:t>Controls Floral Organ Identity and Floral Reversion in Tomato</w:t>
      </w:r>
    </w:p>
    <w:p w:rsidR="00EA08E7" w:rsidRPr="00EA08E7" w:rsidRDefault="00EA08E7">
      <w:pPr>
        <w:rPr>
          <w:rFonts w:ascii="Times New Roman" w:hAnsi="Times New Roman" w:cs="Times New Roman"/>
          <w:sz w:val="28"/>
          <w:szCs w:val="28"/>
        </w:rPr>
      </w:pPr>
    </w:p>
    <w:p w:rsidR="008D5383" w:rsidRDefault="00654500">
      <w:r w:rsidRPr="00654500">
        <w:rPr>
          <w:noProof/>
        </w:rPr>
        <w:drawing>
          <wp:inline distT="0" distB="0" distL="0" distR="0">
            <wp:extent cx="5274310" cy="346686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6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8E7" w:rsidRDefault="00EA08E7"/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S1 Phenotype of ovary and fruit in WT and</w:t>
      </w:r>
      <w:r w:rsidRPr="00654500">
        <w:rPr>
          <w:rFonts w:ascii="Times New Roman" w:hAnsi="Times New Roman" w:cs="Times New Roman"/>
          <w:i/>
          <w:iCs/>
        </w:rPr>
        <w:t> 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The ovary of (a) WT and (b)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>,</w:t>
      </w:r>
      <w:r w:rsidRPr="00654500">
        <w:rPr>
          <w:rFonts w:ascii="Times New Roman" w:hAnsi="Times New Roman" w:cs="Times New Roman"/>
        </w:rPr>
        <w:t xml:space="preserve"> red arrow indicate the stamen fuse with ovary.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The crosscutting views of fruit show the seed production in WT (c) and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(d) without pollination. The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fruit forms seeds after cross-pollination (e bottom)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(f) SEM analysis the ovule in (f) WT and (g)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>.</w:t>
      </w:r>
      <w:r w:rsidRPr="00654500">
        <w:rPr>
          <w:rFonts w:ascii="Times New Roman" w:hAnsi="Times New Roman" w:cs="Times New Roman"/>
        </w:rPr>
        <w:t xml:space="preserve"> 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Scale bars: (a and b) 1 mm; (c, d and e) 1cm; f and g 500 </w:t>
      </w:r>
      <w:proofErr w:type="spellStart"/>
      <w:proofErr w:type="gramStart"/>
      <w:r w:rsidRPr="00654500">
        <w:rPr>
          <w:rFonts w:ascii="Times New Roman" w:hAnsi="Times New Roman" w:cs="Times New Roman"/>
        </w:rPr>
        <w:t>μm</w:t>
      </w:r>
      <w:proofErr w:type="spellEnd"/>
      <w:r w:rsidRPr="00654500">
        <w:rPr>
          <w:rFonts w:ascii="Times New Roman" w:hAnsi="Times New Roman" w:cs="Times New Roman"/>
        </w:rPr>
        <w:t xml:space="preserve"> .</w:t>
      </w:r>
      <w:proofErr w:type="gramEnd"/>
    </w:p>
    <w:p w:rsidR="00654500" w:rsidRDefault="00654500" w:rsidP="00654500"/>
    <w:p w:rsidR="00654500" w:rsidRDefault="00654500" w:rsidP="00654500">
      <w:r w:rsidRPr="00654500">
        <w:rPr>
          <w:noProof/>
        </w:rPr>
        <w:lastRenderedPageBreak/>
        <w:drawing>
          <wp:inline distT="0" distB="0" distL="0" distR="0">
            <wp:extent cx="5274310" cy="4970915"/>
            <wp:effectExtent l="19050" t="0" r="2540" b="0"/>
            <wp:docPr id="3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729704" cy="5400000"/>
                      <a:chOff x="476672" y="128464"/>
                      <a:chExt cx="5729704" cy="5400000"/>
                    </a:xfrm>
                  </a:grpSpPr>
                  <a:grpSp>
                    <a:nvGrpSpPr>
                      <a:cNvPr id="23" name="组合 22"/>
                      <a:cNvGrpSpPr>
                        <a:grpSpLocks noChangeAspect="1"/>
                      </a:cNvGrpSpPr>
                    </a:nvGrpSpPr>
                    <a:grpSpPr>
                      <a:xfrm>
                        <a:off x="476672" y="128464"/>
                        <a:ext cx="5729704" cy="5400000"/>
                        <a:chOff x="-70200" y="1597308"/>
                        <a:chExt cx="6998400" cy="6595692"/>
                      </a:xfrm>
                    </a:grpSpPr>
                    <a:pic>
                      <a:nvPicPr>
                        <a:cNvPr id="19" name="Picture 2" descr="C:\Users\asus\Desktop\CRN进化树2.tif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print"/>
                        <a:srcRect t="1100" r="9990" b="15557"/>
                        <a:stretch>
                          <a:fillRect/>
                        </a:stretch>
                      </a:blipFill>
                      <a:spPr bwMode="auto">
                        <a:xfrm>
                          <a:off x="-70200" y="1713000"/>
                          <a:ext cx="6998400" cy="64800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4" name="组合 21"/>
                        <a:cNvGrpSpPr/>
                      </a:nvGrpSpPr>
                      <a:grpSpPr>
                        <a:xfrm>
                          <a:off x="374412" y="1597308"/>
                          <a:ext cx="2453838" cy="2825905"/>
                          <a:chOff x="374412" y="1597308"/>
                          <a:chExt cx="2453838" cy="2825905"/>
                        </a:xfrm>
                      </a:grpSpPr>
                      <a:sp>
                        <a:nvSpPr>
                          <a:cNvPr id="20" name="椭圆 19"/>
                          <a:cNvSpPr/>
                        </a:nvSpPr>
                        <a:spPr>
                          <a:xfrm rot="-1140000">
                            <a:off x="2540250" y="1597308"/>
                            <a:ext cx="288000" cy="12240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1" name="椭圆 20"/>
                          <a:cNvSpPr/>
                        </a:nvSpPr>
                        <a:spPr>
                          <a:xfrm rot="-4260000">
                            <a:off x="950252" y="3540616"/>
                            <a:ext cx="306757" cy="145843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</a:grpSp>
                </lc:lockedCanvas>
              </a:graphicData>
            </a:graphic>
          </wp:inline>
        </w:drawing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  <w:proofErr w:type="gramStart"/>
      <w:r w:rsidRPr="00654500">
        <w:rPr>
          <w:rFonts w:ascii="Times New Roman" w:hAnsi="Times New Roman" w:cs="Times New Roman"/>
        </w:rPr>
        <w:t xml:space="preserve">S2 </w:t>
      </w:r>
      <w:proofErr w:type="spellStart"/>
      <w:r w:rsidRPr="00654500">
        <w:rPr>
          <w:rFonts w:ascii="Times New Roman" w:hAnsi="Times New Roman" w:cs="Times New Roman"/>
        </w:rPr>
        <w:t>Phylogenetic</w:t>
      </w:r>
      <w:proofErr w:type="spellEnd"/>
      <w:r w:rsidRPr="00654500">
        <w:rPr>
          <w:rFonts w:ascii="Times New Roman" w:hAnsi="Times New Roman" w:cs="Times New Roman"/>
        </w:rPr>
        <w:t xml:space="preserve"> analysis of </w:t>
      </w:r>
      <w:r w:rsidRPr="00654500">
        <w:rPr>
          <w:rFonts w:ascii="Times New Roman" w:hAnsi="Times New Roman" w:cs="Times New Roman"/>
          <w:i/>
          <w:iCs/>
        </w:rPr>
        <w:t>SLGT11</w:t>
      </w:r>
      <w:r w:rsidRPr="00654500">
        <w:rPr>
          <w:rFonts w:ascii="Times New Roman" w:hAnsi="Times New Roman" w:cs="Times New Roman"/>
        </w:rPr>
        <w:t xml:space="preserve"> and its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>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 xml:space="preserve">The neighbor-joining </w:t>
      </w:r>
      <w:proofErr w:type="spellStart"/>
      <w:r w:rsidRPr="00654500">
        <w:rPr>
          <w:rFonts w:ascii="Times New Roman" w:hAnsi="Times New Roman" w:cs="Times New Roman"/>
        </w:rPr>
        <w:t>phylogenetic</w:t>
      </w:r>
      <w:proofErr w:type="spellEnd"/>
      <w:r w:rsidRPr="00654500">
        <w:rPr>
          <w:rFonts w:ascii="Times New Roman" w:hAnsi="Times New Roman" w:cs="Times New Roman"/>
        </w:rPr>
        <w:t xml:space="preserve"> tree of </w:t>
      </w:r>
      <w:r w:rsidRPr="00654500">
        <w:rPr>
          <w:rFonts w:ascii="Times New Roman" w:hAnsi="Times New Roman" w:cs="Times New Roman"/>
          <w:i/>
          <w:iCs/>
        </w:rPr>
        <w:t>SLGT11</w:t>
      </w:r>
      <w:r w:rsidRPr="00654500">
        <w:rPr>
          <w:rFonts w:ascii="Times New Roman" w:hAnsi="Times New Roman" w:cs="Times New Roman"/>
        </w:rPr>
        <w:t xml:space="preserve"> and 60 </w:t>
      </w:r>
      <w:proofErr w:type="spellStart"/>
      <w:r w:rsidRPr="00654500">
        <w:rPr>
          <w:rFonts w:ascii="Times New Roman" w:hAnsi="Times New Roman" w:cs="Times New Roman"/>
        </w:rPr>
        <w:t>homolo</w:t>
      </w:r>
      <w:r>
        <w:rPr>
          <w:rFonts w:ascii="Times New Roman" w:hAnsi="Times New Roman" w:cs="Times New Roman"/>
        </w:rPr>
        <w:t>gs</w:t>
      </w:r>
      <w:proofErr w:type="spellEnd"/>
      <w:r>
        <w:rPr>
          <w:rFonts w:ascii="Times New Roman" w:hAnsi="Times New Roman" w:cs="Times New Roman"/>
        </w:rPr>
        <w:t xml:space="preserve"> that share high similarities</w:t>
      </w:r>
      <w:r>
        <w:rPr>
          <w:rFonts w:ascii="Times New Roman" w:hAnsi="Times New Roman" w:cs="Times New Roman" w:hint="eastAsia"/>
        </w:rPr>
        <w:t xml:space="preserve"> </w:t>
      </w:r>
      <w:r w:rsidRPr="00654500">
        <w:rPr>
          <w:rFonts w:ascii="Times New Roman" w:hAnsi="Times New Roman" w:cs="Times New Roman"/>
        </w:rPr>
        <w:t xml:space="preserve">with </w:t>
      </w:r>
      <w:r w:rsidRPr="00654500">
        <w:rPr>
          <w:rFonts w:ascii="Times New Roman" w:hAnsi="Times New Roman" w:cs="Times New Roman"/>
          <w:i/>
          <w:iCs/>
        </w:rPr>
        <w:t>SLGT11</w:t>
      </w:r>
      <w:r w:rsidRPr="00654500">
        <w:rPr>
          <w:rFonts w:ascii="Times New Roman" w:hAnsi="Times New Roman" w:cs="Times New Roman"/>
        </w:rPr>
        <w:t xml:space="preserve"> across different plants species.</w:t>
      </w:r>
      <w:proofErr w:type="gramEnd"/>
      <w:r w:rsidRPr="00654500">
        <w:rPr>
          <w:rFonts w:ascii="Times New Roman" w:hAnsi="Times New Roman" w:cs="Times New Roman"/>
        </w:rPr>
        <w:t xml:space="preserve"> The abbreviations of species name and the gene bank ID is listed for each homology. </w:t>
      </w:r>
      <w:r w:rsidRPr="00654500">
        <w:rPr>
          <w:rFonts w:ascii="Times New Roman" w:hAnsi="Times New Roman" w:cs="Times New Roman"/>
          <w:i/>
          <w:iCs/>
        </w:rPr>
        <w:t>SLGT11</w:t>
      </w:r>
      <w:r w:rsidRPr="00654500">
        <w:rPr>
          <w:rFonts w:ascii="Times New Roman" w:hAnsi="Times New Roman" w:cs="Times New Roman"/>
        </w:rPr>
        <w:t xml:space="preserve"> and </w:t>
      </w:r>
      <w:r w:rsidRPr="00654500">
        <w:rPr>
          <w:rFonts w:ascii="Times New Roman" w:hAnsi="Times New Roman" w:cs="Times New Roman"/>
          <w:i/>
          <w:iCs/>
        </w:rPr>
        <w:t>AtGT11</w:t>
      </w:r>
      <w:r w:rsidRPr="00654500">
        <w:rPr>
          <w:rFonts w:ascii="Times New Roman" w:hAnsi="Times New Roman" w:cs="Times New Roman"/>
        </w:rPr>
        <w:t xml:space="preserve"> are marked in the green and red oval, respectively.</w:t>
      </w:r>
    </w:p>
    <w:p w:rsidR="00654500" w:rsidRPr="00654500" w:rsidRDefault="00654500" w:rsidP="00654500">
      <w:pPr>
        <w:rPr>
          <w:rFonts w:ascii="Times New Roman" w:hAnsi="Times New Roman" w:cs="Times New Roman"/>
        </w:rPr>
      </w:pPr>
    </w:p>
    <w:p w:rsidR="00654500" w:rsidRDefault="00654500">
      <w:r w:rsidRPr="00654500">
        <w:rPr>
          <w:noProof/>
        </w:rPr>
        <w:lastRenderedPageBreak/>
        <w:drawing>
          <wp:inline distT="0" distB="0" distL="0" distR="0">
            <wp:extent cx="5274310" cy="8151092"/>
            <wp:effectExtent l="19050" t="0" r="2540" b="0"/>
            <wp:docPr id="4" name="图片 3" descr="E:\参考文献\SLGT11.e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E:\参考文献\SLGT11.e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51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  <w:proofErr w:type="gramStart"/>
      <w:r w:rsidRPr="00654500">
        <w:rPr>
          <w:rFonts w:ascii="Times New Roman" w:hAnsi="Times New Roman" w:cs="Times New Roman"/>
        </w:rPr>
        <w:t xml:space="preserve">S3 Multiple alignment of SLGT11 and its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>.</w:t>
      </w:r>
      <w:proofErr w:type="gramEnd"/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 Multiple alignment of SLGT11 and five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 xml:space="preserve"> from </w:t>
      </w:r>
      <w:proofErr w:type="spellStart"/>
      <w:r w:rsidRPr="00654500">
        <w:rPr>
          <w:rFonts w:ascii="Times New Roman" w:hAnsi="Times New Roman" w:cs="Times New Roman"/>
          <w:i/>
          <w:iCs/>
        </w:rPr>
        <w:t>Solanum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t>tuberosum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L (StGT11), </w:t>
      </w:r>
      <w:proofErr w:type="spellStart"/>
      <w:r w:rsidRPr="00654500">
        <w:rPr>
          <w:rFonts w:ascii="Times New Roman" w:hAnsi="Times New Roman" w:cs="Times New Roman"/>
          <w:i/>
          <w:iCs/>
        </w:rPr>
        <w:t>Nicotiana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lastRenderedPageBreak/>
        <w:t>tabacum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(NtGT11), </w:t>
      </w:r>
      <w:r w:rsidRPr="00654500">
        <w:rPr>
          <w:rFonts w:ascii="Times New Roman" w:hAnsi="Times New Roman" w:cs="Times New Roman"/>
          <w:i/>
          <w:iCs/>
        </w:rPr>
        <w:t xml:space="preserve">Capsicum </w:t>
      </w:r>
      <w:proofErr w:type="spellStart"/>
      <w:r w:rsidRPr="00654500">
        <w:rPr>
          <w:rFonts w:ascii="Times New Roman" w:hAnsi="Times New Roman" w:cs="Times New Roman"/>
          <w:i/>
          <w:iCs/>
        </w:rPr>
        <w:t>annuum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Pr="00654500">
        <w:rPr>
          <w:rFonts w:ascii="Times New Roman" w:hAnsi="Times New Roman" w:cs="Times New Roman"/>
        </w:rPr>
        <w:t>L(</w:t>
      </w:r>
      <w:proofErr w:type="spellStart"/>
      <w:proofErr w:type="gramEnd"/>
      <w:r w:rsidRPr="00654500">
        <w:rPr>
          <w:rFonts w:ascii="Times New Roman" w:hAnsi="Times New Roman" w:cs="Times New Roman"/>
        </w:rPr>
        <w:t>CaAGLF</w:t>
      </w:r>
      <w:proofErr w:type="spellEnd"/>
      <w:r w:rsidRPr="00654500">
        <w:rPr>
          <w:rFonts w:ascii="Times New Roman" w:hAnsi="Times New Roman" w:cs="Times New Roman"/>
        </w:rPr>
        <w:t xml:space="preserve">), </w:t>
      </w:r>
      <w:proofErr w:type="spellStart"/>
      <w:r w:rsidRPr="00654500">
        <w:rPr>
          <w:rFonts w:ascii="Times New Roman" w:hAnsi="Times New Roman" w:cs="Times New Roman"/>
          <w:i/>
          <w:iCs/>
        </w:rPr>
        <w:t>Medicago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t>truncatula</w:t>
      </w:r>
      <w:proofErr w:type="spellEnd"/>
      <w:r w:rsidRPr="00654500">
        <w:rPr>
          <w:rFonts w:ascii="Times New Roman" w:hAnsi="Times New Roman" w:cs="Times New Roman"/>
        </w:rPr>
        <w:t xml:space="preserve">(AGLF), and </w:t>
      </w:r>
      <w:r w:rsidRPr="00654500">
        <w:rPr>
          <w:rFonts w:ascii="Times New Roman" w:hAnsi="Times New Roman" w:cs="Times New Roman"/>
          <w:i/>
          <w:iCs/>
        </w:rPr>
        <w:t xml:space="preserve">Arabidopsis thaliana </w:t>
      </w:r>
      <w:r w:rsidRPr="00654500">
        <w:rPr>
          <w:rFonts w:ascii="Times New Roman" w:hAnsi="Times New Roman" w:cs="Times New Roman"/>
        </w:rPr>
        <w:t xml:space="preserve">(AtGT11) carried out with DNAMAN. The MYB-like DNA binding domain is indicated by a pink underline; the partial </w:t>
      </w:r>
      <w:proofErr w:type="spellStart"/>
      <w:r w:rsidRPr="00654500">
        <w:rPr>
          <w:rFonts w:ascii="Times New Roman" w:hAnsi="Times New Roman" w:cs="Times New Roman"/>
        </w:rPr>
        <w:t>kinase</w:t>
      </w:r>
      <w:proofErr w:type="spellEnd"/>
      <w:r w:rsidRPr="00654500">
        <w:rPr>
          <w:rFonts w:ascii="Times New Roman" w:hAnsi="Times New Roman" w:cs="Times New Roman"/>
        </w:rPr>
        <w:t xml:space="preserve"> domain is indicated by a purple underline. </w:t>
      </w:r>
    </w:p>
    <w:p w:rsidR="00654500" w:rsidRDefault="006545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p w:rsidR="00061E00" w:rsidRDefault="00061E00" w:rsidP="00EA08E7">
      <w:pPr>
        <w:spacing w:line="360" w:lineRule="auto"/>
        <w:rPr>
          <w:rFonts w:hint="eastAsia"/>
        </w:rPr>
      </w:pPr>
    </w:p>
    <w:tbl>
      <w:tblPr>
        <w:tblStyle w:val="a6"/>
        <w:tblpPr w:leftFromText="180" w:rightFromText="180" w:horzAnchor="margin" w:tblpY="740"/>
        <w:tblW w:w="0" w:type="auto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9286"/>
      </w:tblGrid>
      <w:tr w:rsidR="00061E00" w:rsidTr="00D6032C">
        <w:tc>
          <w:tcPr>
            <w:tcW w:w="8522" w:type="dxa"/>
          </w:tcPr>
          <w:p w:rsidR="00061E00" w:rsidRPr="007D36F0" w:rsidRDefault="00061E00" w:rsidP="00D6032C">
            <w:pPr>
              <w:autoSpaceDE w:val="0"/>
              <w:autoSpaceDN w:val="0"/>
              <w:adjustRightInd w:val="0"/>
              <w:ind w:firstLineChars="100" w:firstLine="211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24"/>
                <w:szCs w:val="21"/>
              </w:rPr>
            </w:pPr>
            <w:r w:rsidRPr="007D36F0">
              <w:rPr>
                <w:rFonts w:ascii="TimesNewRomanPSMT" w:hAnsi="TimesNewRomanPSMT"/>
                <w:b/>
                <w:color w:val="000000"/>
                <w:szCs w:val="21"/>
              </w:rPr>
              <w:lastRenderedPageBreak/>
              <w:t xml:space="preserve">Name </w:t>
            </w:r>
            <w:r>
              <w:rPr>
                <w:rFonts w:ascii="TimesNewRomanPSMT" w:hAnsi="TimesNewRomanPSMT" w:hint="eastAsia"/>
                <w:b/>
                <w:color w:val="000000"/>
                <w:szCs w:val="21"/>
              </w:rPr>
              <w:t xml:space="preserve">           </w:t>
            </w:r>
            <w:r w:rsidRPr="007D36F0">
              <w:rPr>
                <w:rFonts w:ascii="TimesNewRomanPSMT" w:hAnsi="TimesNewRomanPSMT"/>
                <w:b/>
                <w:color w:val="000000"/>
                <w:szCs w:val="21"/>
              </w:rPr>
              <w:t xml:space="preserve">Primers </w:t>
            </w:r>
            <w:r w:rsidRPr="007D36F0">
              <w:rPr>
                <w:rFonts w:ascii="TimesNewRomanPSMT" w:hAnsi="TimesNewRomanPSMT" w:hint="eastAsia"/>
                <w:b/>
                <w:color w:val="000000"/>
                <w:szCs w:val="21"/>
              </w:rPr>
              <w:t xml:space="preserve">                    </w:t>
            </w:r>
            <w:r>
              <w:rPr>
                <w:rFonts w:ascii="TimesNewRomanPSMT" w:hAnsi="TimesNewRomanPSMT" w:hint="eastAsia"/>
                <w:b/>
                <w:color w:val="000000"/>
                <w:szCs w:val="21"/>
              </w:rPr>
              <w:t xml:space="preserve">                  </w:t>
            </w:r>
            <w:r w:rsidRPr="007D36F0">
              <w:rPr>
                <w:rFonts w:ascii="TimesNewRomanPSMT" w:hAnsi="TimesNewRomanPSMT"/>
                <w:b/>
                <w:color w:val="000000"/>
                <w:szCs w:val="21"/>
              </w:rPr>
              <w:t>Amplification</w:t>
            </w:r>
          </w:p>
        </w:tc>
      </w:tr>
      <w:tr w:rsidR="00061E00" w:rsidTr="00D6032C">
        <w:tc>
          <w:tcPr>
            <w:tcW w:w="8522" w:type="dxa"/>
          </w:tcPr>
          <w:tbl>
            <w:tblPr>
              <w:tblW w:w="13619" w:type="dxa"/>
              <w:tblLook w:val="04A0"/>
            </w:tblPr>
            <w:tblGrid>
              <w:gridCol w:w="1439"/>
              <w:gridCol w:w="4803"/>
              <w:gridCol w:w="2828"/>
            </w:tblGrid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-pro-F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ATAGAAAAGTTGGGTACCGAGTTGATGTTGAATCCTGAGTTCC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clone of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's promoter</w:t>
                  </w:r>
                </w:p>
              </w:tc>
            </w:tr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-pro-R</w:t>
                  </w:r>
                </w:p>
              </w:tc>
              <w:tc>
                <w:tcPr>
                  <w:tcW w:w="115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GTATCTAGACTCGAGCTCTTCAATAAGGGCCCCAGAT</w:t>
                  </w:r>
                </w:p>
              </w:tc>
            </w:tr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-F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CATTTGGAGAGGACACGCTCGAGATGGATG</w:t>
                  </w:r>
                  <w:r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AAACAAAGGAGA</w:t>
                  </w:r>
                  <w:r>
                    <w:rPr>
                      <w:rFonts w:ascii="Times New Roman" w:eastAsia="Arial Unicode MS" w:hAnsi="Times New Roman" w:cs="Times New Roman" w:hint="eastAsia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ACC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clone of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</w:p>
              </w:tc>
            </w:tr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-R</w:t>
                  </w:r>
                </w:p>
              </w:tc>
              <w:tc>
                <w:tcPr>
                  <w:tcW w:w="115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TCGCCCTTGCTCACCATGAATTCATACCCTCCGGCGGCGGCTG</w:t>
                  </w:r>
                </w:p>
              </w:tc>
            </w:tr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-m-F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GTCTATACCATGGTTCCCATG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for check mutations</w:t>
                  </w:r>
                </w:p>
              </w:tc>
            </w:tr>
            <w:tr w:rsidR="00061E00" w:rsidRPr="00345B94" w:rsidTr="00D6032C">
              <w:trPr>
                <w:trHeight w:val="33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-m-R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Arial Unicode MS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ATGATTCGTTCCTGTGATCGACT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-RNAi-F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CAAAAAAGCAGGCTCCACATGGACCTTCCTTACG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Silence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-RNAi-R</w:t>
                  </w:r>
                </w:p>
              </w:tc>
              <w:tc>
                <w:tcPr>
                  <w:tcW w:w="115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CAAGAAAGCTGGGTCCGCTCAAAATCAGTGTAC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SLACTIN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-FW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GTCCTCTTCCAGCCATCCAT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internal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control in tomato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SLACTIN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-RV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ACCACTGAGCACAATGTTACCG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-qRT-F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TTTGCCTGTGGAGAGGAGAGGAAA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SLGT11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-qRT-R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ACTCAACGCGCAGAACGTAACGAT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TAP3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-qRT-Fw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CCTACTTTTGCTTAATCCAGTGTGT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TAP3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TAP3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-qRT-Rv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ACATTTCCATACTTCCACATGATCT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TM6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-qRT-Fw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CTACAACCATTGCACCCCAAT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TM6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i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TM6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-qRT-Rv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CAGGAGAGACGTAGATCACGAGAA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Fw</w:t>
                  </w:r>
                  <w:proofErr w:type="spellEnd"/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GGAGATGGGAGCCATTGGTG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Rv</w:t>
                  </w:r>
                  <w:proofErr w:type="spellEnd"/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CATTGGCTGAACTCGTAGGC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TPIB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Fw</w:t>
                  </w:r>
                  <w:proofErr w:type="spellEnd"/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TGAAATCAACAAAGTCAAGAAAGACA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TPIB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TPIB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Rv</w:t>
                  </w:r>
                  <w:proofErr w:type="spellEnd"/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TTCACCCTTTAGGTGCCTGAGT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TAG1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-qRT-Fw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CCTCCACCTCAGCAATTCGAT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TAG1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TAG1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-qRT-Rv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ACTAGTTGAATAGGGGGTTGGTC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TM29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-qRT-Fw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TCCTCAATCTCAGGGTTTC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For 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TM29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 xml:space="preserve"> </w:t>
                  </w:r>
                  <w:proofErr w:type="spellStart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qRT</w:t>
                  </w:r>
                  <w:proofErr w:type="spellEnd"/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-PCR analysis</w:t>
                  </w:r>
                </w:p>
              </w:tc>
            </w:tr>
            <w:tr w:rsidR="00061E00" w:rsidRPr="00345B94" w:rsidTr="00D6032C">
              <w:trPr>
                <w:trHeight w:val="300"/>
              </w:trPr>
              <w:tc>
                <w:tcPr>
                  <w:tcW w:w="2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i/>
                      <w:kern w:val="0"/>
                      <w:sz w:val="13"/>
                      <w:szCs w:val="13"/>
                    </w:rPr>
                    <w:t>TM29</w:t>
                  </w: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-qRT-Rv</w:t>
                  </w:r>
                </w:p>
              </w:tc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  <w:r w:rsidRPr="00345B94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  <w:t>GTTATTTGGCTTGAAGTTGT</w:t>
                  </w:r>
                </w:p>
              </w:tc>
              <w:tc>
                <w:tcPr>
                  <w:tcW w:w="4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61E00" w:rsidRPr="00345B94" w:rsidRDefault="00061E00" w:rsidP="00D6032C">
                  <w:pPr>
                    <w:framePr w:hSpace="180" w:wrap="around" w:hAnchor="margin" w:y="740"/>
                    <w:widowControl/>
                    <w:jc w:val="left"/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13"/>
                      <w:szCs w:val="13"/>
                    </w:rPr>
                  </w:pPr>
                </w:p>
              </w:tc>
            </w:tr>
          </w:tbl>
          <w:p w:rsidR="00061E00" w:rsidRDefault="00061E00" w:rsidP="00D6032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</w:pPr>
          </w:p>
        </w:tc>
      </w:tr>
    </w:tbl>
    <w:p w:rsidR="00061E00" w:rsidRPr="00345B94" w:rsidRDefault="00061E00" w:rsidP="00061E0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24"/>
          <w:szCs w:val="21"/>
        </w:rPr>
      </w:pPr>
      <w:r w:rsidRPr="004E1840">
        <w:rPr>
          <w:rFonts w:ascii="Times New Roman" w:hAnsi="Times New Roman" w:cs="Times New Roman"/>
          <w:b/>
          <w:color w:val="000000"/>
          <w:kern w:val="24"/>
          <w:szCs w:val="21"/>
        </w:rPr>
        <w:t xml:space="preserve">Table S1. </w:t>
      </w:r>
      <w:proofErr w:type="gramStart"/>
      <w:r w:rsidRPr="004E1840">
        <w:rPr>
          <w:rFonts w:ascii="Times New Roman" w:hAnsi="Times New Roman" w:cs="Times New Roman"/>
          <w:b/>
          <w:color w:val="000000"/>
          <w:kern w:val="24"/>
          <w:szCs w:val="21"/>
        </w:rPr>
        <w:t>PCR primer sequences used in this study.</w:t>
      </w:r>
      <w:proofErr w:type="gramEnd"/>
    </w:p>
    <w:p w:rsidR="00061E00" w:rsidRPr="00061E00" w:rsidRDefault="00061E00" w:rsidP="00EA08E7">
      <w:pPr>
        <w:spacing w:line="360" w:lineRule="auto"/>
      </w:pPr>
    </w:p>
    <w:sectPr w:rsidR="00061E00" w:rsidRPr="00061E00" w:rsidSect="0065450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CBF" w:rsidRDefault="003B0CBF" w:rsidP="00662D35">
      <w:r>
        <w:separator/>
      </w:r>
    </w:p>
  </w:endnote>
  <w:endnote w:type="continuationSeparator" w:id="0">
    <w:p w:rsidR="003B0CBF" w:rsidRDefault="003B0CBF" w:rsidP="00662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Antiqua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CBF" w:rsidRDefault="003B0CBF" w:rsidP="00662D35">
      <w:r>
        <w:separator/>
      </w:r>
    </w:p>
  </w:footnote>
  <w:footnote w:type="continuationSeparator" w:id="0">
    <w:p w:rsidR="003B0CBF" w:rsidRDefault="003B0CBF" w:rsidP="00662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500"/>
    <w:rsid w:val="00061E00"/>
    <w:rsid w:val="0020525A"/>
    <w:rsid w:val="003B0CBF"/>
    <w:rsid w:val="00563BCE"/>
    <w:rsid w:val="005F7D4D"/>
    <w:rsid w:val="00654500"/>
    <w:rsid w:val="00662D35"/>
    <w:rsid w:val="0075628F"/>
    <w:rsid w:val="00B914A5"/>
    <w:rsid w:val="00CB44C9"/>
    <w:rsid w:val="00EA0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2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45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4500"/>
    <w:rPr>
      <w:sz w:val="18"/>
      <w:szCs w:val="18"/>
    </w:rPr>
  </w:style>
  <w:style w:type="character" w:customStyle="1" w:styleId="fontstyle01">
    <w:name w:val="fontstyle01"/>
    <w:basedOn w:val="a0"/>
    <w:rsid w:val="00654500"/>
    <w:rPr>
      <w:rFonts w:ascii="BookAntiqua-Bold" w:hAnsi="BookAntiqua-Bold" w:hint="default"/>
      <w:b/>
      <w:bCs/>
      <w:i w:val="0"/>
      <w:iCs w:val="0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2D3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6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62D35"/>
    <w:rPr>
      <w:sz w:val="18"/>
      <w:szCs w:val="18"/>
    </w:rPr>
  </w:style>
  <w:style w:type="table" w:styleId="a6">
    <w:name w:val="Table Grid"/>
    <w:basedOn w:val="a1"/>
    <w:uiPriority w:val="59"/>
    <w:rsid w:val="00061E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2020-03-11T13:54:00Z</dcterms:created>
  <dcterms:modified xsi:type="dcterms:W3CDTF">2020-04-02T13:47:00Z</dcterms:modified>
</cp:coreProperties>
</file>